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E80FC" w14:textId="77777777" w:rsidR="00A355BF" w:rsidRDefault="0010257A">
      <w:pPr>
        <w:keepNext/>
        <w:spacing w:after="100"/>
      </w:pPr>
      <w:r>
        <w:rPr>
          <w:b/>
        </w:rPr>
        <w:t>Riigihangete vaidlustuskomisjonile</w:t>
      </w:r>
    </w:p>
    <w:p w14:paraId="372718AB" w14:textId="77777777" w:rsidR="00A355BF" w:rsidRDefault="0010257A">
      <w:pPr>
        <w:keepNext/>
        <w:spacing w:after="120"/>
      </w:pPr>
      <w:r>
        <w:rPr>
          <w:b/>
        </w:rPr>
        <w:t>Kompromisskokkulepe ja ühine taotlus vaidlustusmenetluse lõpetamiseks</w:t>
      </w:r>
    </w:p>
    <w:tbl>
      <w:tblPr>
        <w:tblW w:w="9184" w:type="dxa"/>
        <w:tblBorders>
          <w:top w:val="nil"/>
          <w:left w:val="nil"/>
          <w:bottom w:val="nil"/>
          <w:right w:val="nil"/>
          <w:insideH w:val="nil"/>
          <w:insideV w:val="nil"/>
        </w:tblBorders>
        <w:tblLayout w:type="fixed"/>
        <w:tblLook w:val="04A0" w:firstRow="1" w:lastRow="0" w:firstColumn="1" w:lastColumn="0" w:noHBand="0" w:noVBand="1"/>
      </w:tblPr>
      <w:tblGrid>
        <w:gridCol w:w="2977"/>
        <w:gridCol w:w="6207"/>
      </w:tblGrid>
      <w:tr w:rsidR="00A355BF" w14:paraId="05B769C3" w14:textId="77777777" w:rsidTr="005061B4">
        <w:tc>
          <w:tcPr>
            <w:tcW w:w="2977" w:type="dxa"/>
            <w:tcMar>
              <w:top w:w="20" w:type="dxa"/>
              <w:left w:w="0" w:type="dxa"/>
              <w:bottom w:w="20" w:type="dxa"/>
              <w:right w:w="90" w:type="dxa"/>
            </w:tcMar>
          </w:tcPr>
          <w:p w14:paraId="71EA18C8" w14:textId="77777777" w:rsidR="00A355BF" w:rsidRDefault="0010257A">
            <w:r>
              <w:rPr>
                <w:b/>
              </w:rPr>
              <w:t>Vaidlustusasi</w:t>
            </w:r>
          </w:p>
        </w:tc>
        <w:tc>
          <w:tcPr>
            <w:tcW w:w="6207" w:type="dxa"/>
            <w:tcMar>
              <w:top w:w="20" w:type="dxa"/>
              <w:left w:w="0" w:type="dxa"/>
              <w:bottom w:w="20" w:type="dxa"/>
              <w:right w:w="90" w:type="dxa"/>
            </w:tcMar>
          </w:tcPr>
          <w:p w14:paraId="3CC5A77E" w14:textId="36CAE0DD" w:rsidR="00A355BF" w:rsidRDefault="0010257A">
            <w:r>
              <w:t>185-26/307261</w:t>
            </w:r>
          </w:p>
        </w:tc>
      </w:tr>
      <w:tr w:rsidR="00A355BF" w14:paraId="34D90D2F" w14:textId="77777777" w:rsidTr="005061B4">
        <w:tc>
          <w:tcPr>
            <w:tcW w:w="2977" w:type="dxa"/>
            <w:tcMar>
              <w:top w:w="20" w:type="dxa"/>
              <w:left w:w="0" w:type="dxa"/>
              <w:bottom w:w="20" w:type="dxa"/>
              <w:right w:w="90" w:type="dxa"/>
            </w:tcMar>
          </w:tcPr>
          <w:p w14:paraId="68612146" w14:textId="77777777" w:rsidR="00A355BF" w:rsidRDefault="0010257A">
            <w:r>
              <w:rPr>
                <w:b/>
              </w:rPr>
              <w:t>Riigihange</w:t>
            </w:r>
          </w:p>
        </w:tc>
        <w:tc>
          <w:tcPr>
            <w:tcW w:w="6207" w:type="dxa"/>
            <w:tcMar>
              <w:top w:w="20" w:type="dxa"/>
              <w:left w:w="0" w:type="dxa"/>
              <w:bottom w:w="20" w:type="dxa"/>
              <w:right w:w="90" w:type="dxa"/>
            </w:tcMar>
          </w:tcPr>
          <w:p w14:paraId="7146668C" w14:textId="77777777" w:rsidR="00A355BF" w:rsidRDefault="0010257A">
            <w:r>
              <w:t>„Microsoft Dynamics 365 Business Central tooteplatvormi arendus- ja hooldustööd“</w:t>
            </w:r>
          </w:p>
        </w:tc>
      </w:tr>
      <w:tr w:rsidR="00A355BF" w14:paraId="5B142410" w14:textId="77777777" w:rsidTr="005061B4">
        <w:tc>
          <w:tcPr>
            <w:tcW w:w="2977" w:type="dxa"/>
            <w:tcMar>
              <w:top w:w="20" w:type="dxa"/>
              <w:left w:w="0" w:type="dxa"/>
              <w:bottom w:w="20" w:type="dxa"/>
              <w:right w:w="90" w:type="dxa"/>
            </w:tcMar>
          </w:tcPr>
          <w:p w14:paraId="05DB9560" w14:textId="77777777" w:rsidR="00A355BF" w:rsidRDefault="0010257A">
            <w:r>
              <w:rPr>
                <w:b/>
              </w:rPr>
              <w:t>Riigihanke viitenumber</w:t>
            </w:r>
          </w:p>
        </w:tc>
        <w:tc>
          <w:tcPr>
            <w:tcW w:w="6207" w:type="dxa"/>
            <w:tcMar>
              <w:top w:w="20" w:type="dxa"/>
              <w:left w:w="0" w:type="dxa"/>
              <w:bottom w:w="20" w:type="dxa"/>
              <w:right w:w="90" w:type="dxa"/>
            </w:tcMar>
          </w:tcPr>
          <w:p w14:paraId="53FE3A6C" w14:textId="77777777" w:rsidR="00A355BF" w:rsidRDefault="0010257A">
            <w:r>
              <w:t>307261</w:t>
            </w:r>
          </w:p>
        </w:tc>
      </w:tr>
      <w:tr w:rsidR="00A355BF" w14:paraId="1327334E" w14:textId="77777777" w:rsidTr="005061B4">
        <w:tc>
          <w:tcPr>
            <w:tcW w:w="2977" w:type="dxa"/>
            <w:tcMar>
              <w:top w:w="20" w:type="dxa"/>
              <w:left w:w="0" w:type="dxa"/>
              <w:bottom w:w="20" w:type="dxa"/>
              <w:right w:w="90" w:type="dxa"/>
            </w:tcMar>
          </w:tcPr>
          <w:p w14:paraId="2EB86A0E" w14:textId="77777777" w:rsidR="00A355BF" w:rsidRDefault="0010257A">
            <w:r>
              <w:rPr>
                <w:b/>
              </w:rPr>
              <w:t>Pooled</w:t>
            </w:r>
          </w:p>
        </w:tc>
        <w:tc>
          <w:tcPr>
            <w:tcW w:w="6207" w:type="dxa"/>
            <w:tcMar>
              <w:top w:w="20" w:type="dxa"/>
              <w:left w:w="0" w:type="dxa"/>
              <w:bottom w:w="20" w:type="dxa"/>
              <w:right w:w="90" w:type="dxa"/>
            </w:tcMar>
          </w:tcPr>
          <w:p w14:paraId="73C978AB" w14:textId="77777777" w:rsidR="00A355BF" w:rsidRDefault="0010257A">
            <w:r>
              <w:t>AKTSIASELTS TALLINNA VESI (hankija) ja OIXIO Digital AS (vaidlustaja)</w:t>
            </w:r>
          </w:p>
        </w:tc>
      </w:tr>
    </w:tbl>
    <w:p w14:paraId="61E8027D" w14:textId="717EA55E" w:rsidR="00A355BF" w:rsidRDefault="0010257A" w:rsidP="005061B4">
      <w:pPr>
        <w:pStyle w:val="Loendilik"/>
        <w:keepNext/>
        <w:numPr>
          <w:ilvl w:val="0"/>
          <w:numId w:val="2"/>
        </w:numPr>
        <w:spacing w:before="140" w:after="40"/>
        <w:jc w:val="both"/>
      </w:pPr>
      <w:r w:rsidRPr="005061B4">
        <w:rPr>
          <w:b/>
        </w:rPr>
        <w:t>Kokkuleppe taust ja eesmärk</w:t>
      </w:r>
    </w:p>
    <w:p w14:paraId="1CB4565F" w14:textId="1F29FCE9" w:rsidR="00A355BF" w:rsidRDefault="0010257A" w:rsidP="005061B4">
      <w:pPr>
        <w:pStyle w:val="Loendilik"/>
        <w:numPr>
          <w:ilvl w:val="1"/>
          <w:numId w:val="2"/>
        </w:numPr>
        <w:spacing w:before="40" w:after="20"/>
        <w:jc w:val="both"/>
      </w:pPr>
      <w:r>
        <w:t>OIXIO Digital AS on esitanud eespool nimetatud riigihankes vaidlustuse, mis on Riigihangete vaidlustuskomisjoni menetluses vaidlustusasjana nr 185-26/307261.</w:t>
      </w:r>
    </w:p>
    <w:p w14:paraId="4D622FA3" w14:textId="018D2B25" w:rsidR="00A355BF" w:rsidRDefault="0010257A" w:rsidP="005061B4">
      <w:pPr>
        <w:pStyle w:val="Loendilik"/>
        <w:numPr>
          <w:ilvl w:val="1"/>
          <w:numId w:val="2"/>
        </w:numPr>
        <w:spacing w:before="40" w:after="20"/>
        <w:jc w:val="both"/>
      </w:pPr>
      <w:r>
        <w:t>Hankija jääb seisukohale, et vaidlustus on olulises osas esitatud pärast riigihangete seaduses sätestatud vaidlustamistähtaja möödumist ning et vaidlustatud tingimused ei ole õigusvastased.</w:t>
      </w:r>
    </w:p>
    <w:p w14:paraId="4ACA51BD" w14:textId="0071CFBD" w:rsidR="00A355BF" w:rsidRDefault="0010257A" w:rsidP="005061B4">
      <w:pPr>
        <w:pStyle w:val="Loendilik"/>
        <w:numPr>
          <w:ilvl w:val="1"/>
          <w:numId w:val="2"/>
        </w:numPr>
        <w:spacing w:before="40" w:after="20"/>
        <w:jc w:val="both"/>
      </w:pPr>
      <w:r>
        <w:t>Pooled soovivad menetlusökonoomia huvides, võimaliku tõlgendusruumi kõrvaldamiseks ning hankemenetluse sujuva jätkamise eesmärgil lahendada vaidluse kompromissiga. Käesolev kokkulepe ei kujuta endast vaidlustaja õiguslike seisukohtade omaksvõttu hankija poolt ega hankija õiguslike seisukohtade omaksvõttu vaidlustaja poolt.</w:t>
      </w:r>
    </w:p>
    <w:p w14:paraId="04170276" w14:textId="77777777" w:rsidR="005061B4" w:rsidRDefault="005061B4" w:rsidP="005061B4">
      <w:pPr>
        <w:pStyle w:val="Loendilik"/>
        <w:spacing w:before="40" w:after="20"/>
        <w:ind w:left="800"/>
        <w:jc w:val="both"/>
      </w:pPr>
    </w:p>
    <w:p w14:paraId="4EAE8B1D" w14:textId="0B303C7E" w:rsidR="00A355BF" w:rsidRDefault="0010257A" w:rsidP="005061B4">
      <w:pPr>
        <w:pStyle w:val="Loendilik"/>
        <w:keepNext/>
        <w:numPr>
          <w:ilvl w:val="0"/>
          <w:numId w:val="2"/>
        </w:numPr>
        <w:spacing w:before="140" w:after="40"/>
        <w:jc w:val="both"/>
      </w:pPr>
      <w:r w:rsidRPr="005061B4">
        <w:rPr>
          <w:b/>
        </w:rPr>
        <w:t>Riigihanke alusdokumentide täpsustused</w:t>
      </w:r>
    </w:p>
    <w:p w14:paraId="55EF275E" w14:textId="1076B40F" w:rsidR="00A355BF" w:rsidRDefault="0010257A" w:rsidP="002A2617">
      <w:pPr>
        <w:pStyle w:val="Loendilik"/>
        <w:numPr>
          <w:ilvl w:val="1"/>
          <w:numId w:val="2"/>
        </w:numPr>
        <w:spacing w:before="40" w:after="20"/>
        <w:jc w:val="both"/>
      </w:pPr>
      <w:r>
        <w:t>Hindamiskriteerium nr 12 – punktiarvestus. Hankija täpsustab hindamismetoodikat ning avaldab riigihanke alusdokumentides järgmise põhimõtte:</w:t>
      </w:r>
      <w:r w:rsidR="002A2617">
        <w:t xml:space="preserve"> </w:t>
      </w:r>
      <w:r>
        <w:t>„Iga nõuetele vastav referentsprojekt annab 0,5 punkti. Arendaja puhul võetakse arvesse maksimaalselt kolme ning finantstarkvara konsultandi puhul maksimaalselt kolme nõuetele vastavat referentsprojekti. Kriteeriumi maksimaalne punktisumma on 3 punkti. Hindamisel võetakse arvesse pakkuja meeskonnas nimetatud arendaja ja finantstarkvara konsultandi nõuetele vastavaid referentsprojekte. Projekte hinnatakse kummagi võtmeisiku kohta eraldi ning nende eest saadavad punktid liidetakse.“</w:t>
      </w:r>
    </w:p>
    <w:p w14:paraId="52C6142B" w14:textId="19CC8F42" w:rsidR="00A355BF" w:rsidRDefault="0010257A" w:rsidP="005061B4">
      <w:pPr>
        <w:pStyle w:val="Loendilik"/>
        <w:numPr>
          <w:ilvl w:val="1"/>
          <w:numId w:val="2"/>
        </w:numPr>
        <w:spacing w:before="40" w:after="20"/>
        <w:jc w:val="both"/>
      </w:pPr>
      <w:r>
        <w:t>Pooled kinnitavad, et punktis 2.1 kirjeldatud täpsustuse eesmärk on muuta punktide kujunemine kõigi võimalike projektikombinatsioonide puhul üheselt arusaadavaks. Tegemist on hindamiskriteeriumiga, mille täitmine ei ole hankes osalemise eelduseks.</w:t>
      </w:r>
    </w:p>
    <w:p w14:paraId="7607E277" w14:textId="129855AB" w:rsidR="00A355BF" w:rsidRDefault="0010257A" w:rsidP="002A2617">
      <w:pPr>
        <w:pStyle w:val="Loendilik"/>
        <w:numPr>
          <w:ilvl w:val="1"/>
          <w:numId w:val="2"/>
        </w:numPr>
        <w:spacing w:before="40" w:after="20"/>
        <w:jc w:val="both"/>
      </w:pPr>
      <w:r>
        <w:t>Hindamiskriteerium nr 12 – välisriigi referentsid. Hankija täpsustab riigihanke alusdokumente ning avaldab järgmise põhimõtte:</w:t>
      </w:r>
      <w:r w:rsidR="002A2617">
        <w:t xml:space="preserve"> </w:t>
      </w:r>
      <w:r>
        <w:t>„</w:t>
      </w:r>
      <w:r w:rsidR="002A2617">
        <w:t xml:space="preserve">Pakkuja meeskonnas nimetatud arendaja või finantstarkvara konsultant on viimase kolmekümne kuue (36) kuu jooksul, arvestades hanketeate avaldamise kuupäevast, osalenud projektis või projektides, mille raames on nõuetekohaselt täidetud tarkvara arendamise või hooldamise leping maksumusega vähemalt 50 000 eurot ilma käibemaksuta ning mille tellija tegutseb taristu- või infrastruktuurivaldkonnas ja kasutab Microsoft Dynamics 365 Business </w:t>
      </w:r>
      <w:proofErr w:type="spellStart"/>
      <w:r w:rsidR="002A2617">
        <w:t>Centrali</w:t>
      </w:r>
      <w:proofErr w:type="spellEnd"/>
      <w:r w:rsidR="002A2617">
        <w:t xml:space="preserve"> on-</w:t>
      </w:r>
      <w:proofErr w:type="spellStart"/>
      <w:r w:rsidR="002A2617">
        <w:t>premises</w:t>
      </w:r>
      <w:proofErr w:type="spellEnd"/>
      <w:r w:rsidR="002A2617">
        <w:t xml:space="preserve">- või veebiversiooni. Taristu- või infrastruktuurivaldkonnaks loetakse muu hulgas tegevusalad, mis vastavad EMTAK koodidele </w:t>
      </w:r>
      <w:r w:rsidR="002A2617" w:rsidRPr="00FA1186">
        <w:t>3511, 3512, 3513, 3514, 3522, 3524, 3530, 3600, 3700, 4950, 5221, 5222, 5223 ja 6110</w:t>
      </w:r>
      <w:r w:rsidR="002A2617">
        <w:t xml:space="preserve"> või nimetatud tegevusaladega sisuliselt samaväärsed tegevusalad. Samaväärsust võib tõendada EMTAK-koodi, vastava NACE-koodi, välisriigi samaväärse tegevusalade klassifikaatori või muu objektiivse tõendiga, millest nähtub, et referentsorganisatsiooni tegevuskeskkond on võrreldav nimetatud taristu- või infrastruktuurivaldkonnaga. Arvesse võetakse projektid, milles vastava võtmeisiku (arendaja või finantstarkvara konsultandi) töömaht on olnud vähemalt kakssada (200) tundi projekti kohta ning projekti kestus vähemalt kuus (6) kuud. Kui hindamisel esitatakse mitu referentsprojekti, peavad projektide tellijad olema erinevad.</w:t>
      </w:r>
      <w:r>
        <w:t>“</w:t>
      </w:r>
    </w:p>
    <w:p w14:paraId="2787E817" w14:textId="3D06F3D1" w:rsidR="00A355BF" w:rsidRDefault="0010257A" w:rsidP="005061B4">
      <w:pPr>
        <w:pStyle w:val="Loendilik"/>
        <w:numPr>
          <w:ilvl w:val="1"/>
          <w:numId w:val="2"/>
        </w:numPr>
        <w:spacing w:before="40" w:after="20"/>
        <w:jc w:val="both"/>
      </w:pPr>
      <w:r>
        <w:t>Pooled kinnitavad, et punktis 2.3 kirjeldatud täpsustus ei muuda hindamiskriteeriumi sisulist eesmärki, milleks on hinnata võtmeisikute kogemust hankija tegevuskeskkonnaga võrreldavas taristuvaldkonnas.</w:t>
      </w:r>
    </w:p>
    <w:p w14:paraId="5333D49C" w14:textId="612D998D" w:rsidR="00A355BF" w:rsidRDefault="0010257A" w:rsidP="002A2617">
      <w:pPr>
        <w:pStyle w:val="Loendilik"/>
        <w:numPr>
          <w:ilvl w:val="1"/>
          <w:numId w:val="2"/>
        </w:numPr>
        <w:spacing w:before="40" w:after="20"/>
        <w:jc w:val="both"/>
      </w:pPr>
      <w:r>
        <w:t>Microsoft Dynamics 365 Business Centrali ja ArcGIS-i vahelise liidese käsitlus. Hankija lisab tehnilisse kirjeldusse informatiivse täpsustuse järgmises põhimõttelises sõnastuses:</w:t>
      </w:r>
      <w:r w:rsidR="002A2617">
        <w:t xml:space="preserve"> </w:t>
      </w:r>
      <w:r>
        <w:t xml:space="preserve">„Hankijal on hanke läbiviimise ajal loomisel Microsoft Dynamics 365 Business Centrali ja ArcGIS-i vaheline liides. Raamlepingu kehtivuse ajal võib hankijal tekkida vajadus nimetatud liidese hooldus-, muutmis- ja edasiarendustööde ning liidesega seotud veaolukordade lahendamise järele. </w:t>
      </w:r>
      <w:r>
        <w:lastRenderedPageBreak/>
        <w:t>Vastavad tööd tellitakse tehnilises kirjelduses sätestatud korras konkreetsete lähteülesannete alusel.“</w:t>
      </w:r>
    </w:p>
    <w:p w14:paraId="067056CB" w14:textId="1AAD74D6" w:rsidR="00A355BF" w:rsidRDefault="0010257A" w:rsidP="005061B4">
      <w:pPr>
        <w:pStyle w:val="Loendilik"/>
        <w:numPr>
          <w:ilvl w:val="1"/>
          <w:numId w:val="2"/>
        </w:numPr>
        <w:spacing w:before="40" w:after="20"/>
        <w:jc w:val="both"/>
      </w:pPr>
      <w:r>
        <w:t>Pooled kinnitavad, et punktis 2.5 nimetatud täpsustus selgitab muu hulgas, miks loomisel olev liides ei ole tehnilise kirjelduse punktis 1.6 loetletud juba olemasolevate liideste hulgas.</w:t>
      </w:r>
    </w:p>
    <w:p w14:paraId="1EBE4F5D" w14:textId="57D7629B" w:rsidR="00A355BF" w:rsidRDefault="0010257A" w:rsidP="005061B4">
      <w:pPr>
        <w:pStyle w:val="Loendilik"/>
        <w:numPr>
          <w:ilvl w:val="1"/>
          <w:numId w:val="2"/>
        </w:numPr>
        <w:spacing w:before="40" w:after="20"/>
        <w:jc w:val="both"/>
      </w:pPr>
      <w:r>
        <w:t>Hindamiskriteerium nr 9. Kompromissi tingimusena hindamiskriteeriumi nr 9 ei eemaldata ega muudeta käesoleva kokkuleppe alusel. Pooled arvestavad, et ArcGIS-i kogemus ei ole pakkumuse vastavuse tingimus ning selle puudumine ei välista pakkujat hankest</w:t>
      </w:r>
      <w:r w:rsidR="002A2617">
        <w:t xml:space="preserve"> ning</w:t>
      </w:r>
      <w:r>
        <w:t xml:space="preserve"> vastava kogemuse olemasolu annab pakkumusele 6 punkti 100 võimalikust.</w:t>
      </w:r>
    </w:p>
    <w:p w14:paraId="05F75D4F" w14:textId="2D575867" w:rsidR="00A355BF" w:rsidRDefault="0010257A" w:rsidP="005061B4">
      <w:pPr>
        <w:pStyle w:val="Loendilik"/>
        <w:numPr>
          <w:ilvl w:val="1"/>
          <w:numId w:val="2"/>
        </w:numPr>
        <w:spacing w:before="40" w:after="20"/>
        <w:jc w:val="both"/>
      </w:pPr>
      <w:r>
        <w:t>Hankija avaldab punktides 2.1, 2.3 ja 2.5 kirjeldatud täpsustused riigihanke alusdokumentides esimesel mõistlikul võimalusel pärast käesoleva kokkuleppe jõustumist. Vajaduse korral pikendab hankija pakkumuste esitamise tähtaega selliselt, et kõigile ettevõtjatele jääks pärast muudatuste avaldamist piisav aeg muudetud riigihanke alusdokumentidega tutvumiseks ja pakkumuse esitamiseks.</w:t>
      </w:r>
    </w:p>
    <w:p w14:paraId="4FD98254" w14:textId="77777777" w:rsidR="005061B4" w:rsidRDefault="005061B4" w:rsidP="005061B4">
      <w:pPr>
        <w:pStyle w:val="Loendilik"/>
        <w:spacing w:before="40" w:after="20"/>
        <w:ind w:left="800"/>
        <w:jc w:val="both"/>
      </w:pPr>
    </w:p>
    <w:p w14:paraId="7DC34DDA" w14:textId="54EE272B" w:rsidR="00A355BF" w:rsidRDefault="0010257A" w:rsidP="005061B4">
      <w:pPr>
        <w:pStyle w:val="Loendilik"/>
        <w:keepNext/>
        <w:numPr>
          <w:ilvl w:val="0"/>
          <w:numId w:val="2"/>
        </w:numPr>
        <w:spacing w:before="140" w:after="40"/>
        <w:jc w:val="both"/>
      </w:pPr>
      <w:r w:rsidRPr="005061B4">
        <w:rPr>
          <w:b/>
        </w:rPr>
        <w:t>Vaidlustusmenetluse lõpetamine</w:t>
      </w:r>
    </w:p>
    <w:p w14:paraId="488EA034" w14:textId="3A200037" w:rsidR="00A355BF" w:rsidRDefault="0010257A" w:rsidP="005061B4">
      <w:pPr>
        <w:pStyle w:val="Loendilik"/>
        <w:numPr>
          <w:ilvl w:val="1"/>
          <w:numId w:val="2"/>
        </w:numPr>
        <w:spacing w:before="40" w:after="20"/>
        <w:jc w:val="both"/>
      </w:pPr>
      <w:r>
        <w:t>Pooled kinnitavad, et punktis 2 sätestatud tingimused moodustavad nendevahelise kompromissi vaidlustusasjas nr 185-26/307261.</w:t>
      </w:r>
    </w:p>
    <w:p w14:paraId="22A4B60C" w14:textId="34C0FF8F" w:rsidR="00A355BF" w:rsidRDefault="0010257A" w:rsidP="005061B4">
      <w:pPr>
        <w:pStyle w:val="Loendilik"/>
        <w:numPr>
          <w:ilvl w:val="1"/>
          <w:numId w:val="2"/>
        </w:numPr>
        <w:spacing w:before="40" w:after="20"/>
        <w:jc w:val="both"/>
      </w:pPr>
      <w:r>
        <w:t>Pooled esitavad Riigihangete vaidlustuskomisjonile ühise taotluse lõpetada vaidlustusmenetlus RHS § 197 lg 1 p 1 alusel.</w:t>
      </w:r>
    </w:p>
    <w:p w14:paraId="23E8A4F5" w14:textId="436F1F72" w:rsidR="00A355BF" w:rsidRDefault="0010257A" w:rsidP="005061B4">
      <w:pPr>
        <w:pStyle w:val="Loendilik"/>
        <w:numPr>
          <w:ilvl w:val="1"/>
          <w:numId w:val="2"/>
        </w:numPr>
        <w:spacing w:before="40" w:after="20"/>
        <w:jc w:val="both"/>
      </w:pPr>
      <w:r>
        <w:t>Vaidlustaja nõustub, et käesoleva kokkuleppe jõustumisel ja selles kokkulepitud tingimustel ei ole vaidlustusmenetluse jätkamine vajalik. Hankija nõustub tegema punktis 2 kokku lepitud täpsustused.</w:t>
      </w:r>
    </w:p>
    <w:p w14:paraId="3CA5C5AA" w14:textId="77777777" w:rsidR="005061B4" w:rsidRDefault="005061B4" w:rsidP="005061B4">
      <w:pPr>
        <w:pStyle w:val="Loendilik"/>
        <w:spacing w:before="40" w:after="20"/>
        <w:ind w:left="800"/>
        <w:jc w:val="both"/>
      </w:pPr>
    </w:p>
    <w:p w14:paraId="2F0D0021" w14:textId="20F6F32B" w:rsidR="00A355BF" w:rsidRDefault="0010257A" w:rsidP="005061B4">
      <w:pPr>
        <w:pStyle w:val="Loendilik"/>
        <w:keepNext/>
        <w:numPr>
          <w:ilvl w:val="0"/>
          <w:numId w:val="2"/>
        </w:numPr>
        <w:spacing w:before="140" w:after="40"/>
        <w:jc w:val="both"/>
      </w:pPr>
      <w:r w:rsidRPr="005061B4">
        <w:rPr>
          <w:b/>
        </w:rPr>
        <w:t>Menetluskulud ja riigilõiv</w:t>
      </w:r>
    </w:p>
    <w:p w14:paraId="20CAC383" w14:textId="75CEBE76" w:rsidR="00A355BF" w:rsidRDefault="002A2617" w:rsidP="005061B4">
      <w:pPr>
        <w:pStyle w:val="Loendilik"/>
        <w:numPr>
          <w:ilvl w:val="1"/>
          <w:numId w:val="2"/>
        </w:numPr>
        <w:spacing w:before="40" w:after="20"/>
        <w:jc w:val="both"/>
      </w:pPr>
      <w:r w:rsidRPr="003542F9">
        <w:t xml:space="preserve">Vaidlustaja hüvitab hankijale tema senised menetluskulud summas </w:t>
      </w:r>
      <w:r w:rsidR="003542F9" w:rsidRPr="003542F9">
        <w:t>1260</w:t>
      </w:r>
      <w:r w:rsidRPr="003542F9">
        <w:t>,00 eurot</w:t>
      </w:r>
      <w:r w:rsidR="003542F9" w:rsidRPr="003542F9">
        <w:t>, s.o 50%</w:t>
      </w:r>
      <w:r w:rsidRPr="003542F9">
        <w:t xml:space="preserve"> vastavalt 03.09.2026 </w:t>
      </w:r>
      <w:r w:rsidR="00FA1186">
        <w:t xml:space="preserve">hankija </w:t>
      </w:r>
      <w:r w:rsidRPr="003542F9">
        <w:t xml:space="preserve">menetluskulude nimekirjale. </w:t>
      </w:r>
      <w:r>
        <w:t>Muud poolte lepingulise esindaja kulud jäävad vastava poole enda kanda.</w:t>
      </w:r>
    </w:p>
    <w:p w14:paraId="1DBB440C" w14:textId="4A5FAAA2" w:rsidR="00A355BF" w:rsidRDefault="0010257A" w:rsidP="005061B4">
      <w:pPr>
        <w:pStyle w:val="Loendilik"/>
        <w:numPr>
          <w:ilvl w:val="1"/>
          <w:numId w:val="2"/>
        </w:numPr>
        <w:spacing w:before="40" w:after="20"/>
        <w:jc w:val="both"/>
      </w:pPr>
      <w:r>
        <w:t>Pooled paluvad Riigihangete vaidlustuskomisjonil otsustada vaidlustaja tasutud riigilõivu tagastamine RHS § 198 lg 4¹ kohaselt ulatuses, milles seaduses sätestatud eeldused on menetluse lõpetamise ajal täidetud.</w:t>
      </w:r>
    </w:p>
    <w:p w14:paraId="57E70DF9" w14:textId="77777777" w:rsidR="005061B4" w:rsidRDefault="005061B4" w:rsidP="005061B4">
      <w:pPr>
        <w:pStyle w:val="Loendilik"/>
        <w:spacing w:before="40" w:after="20"/>
        <w:ind w:left="800"/>
        <w:jc w:val="both"/>
      </w:pPr>
    </w:p>
    <w:p w14:paraId="342E3077" w14:textId="3717845E" w:rsidR="00A355BF" w:rsidRDefault="0010257A" w:rsidP="005061B4">
      <w:pPr>
        <w:pStyle w:val="Loendilik"/>
        <w:keepNext/>
        <w:numPr>
          <w:ilvl w:val="0"/>
          <w:numId w:val="2"/>
        </w:numPr>
        <w:spacing w:before="140" w:after="40"/>
        <w:jc w:val="both"/>
      </w:pPr>
      <w:r w:rsidRPr="005061B4">
        <w:rPr>
          <w:b/>
        </w:rPr>
        <w:t>Lõppsätted</w:t>
      </w:r>
    </w:p>
    <w:p w14:paraId="6B06103B" w14:textId="74D545E9" w:rsidR="00A355BF" w:rsidRDefault="0010257A" w:rsidP="005061B4">
      <w:pPr>
        <w:pStyle w:val="Loendilik"/>
        <w:numPr>
          <w:ilvl w:val="1"/>
          <w:numId w:val="2"/>
        </w:numPr>
        <w:spacing w:before="40" w:after="20"/>
        <w:jc w:val="both"/>
      </w:pPr>
      <w:r>
        <w:t>Käesolev kokkulepe jõustub, kui mõlemad pooled on selle allkirjastanud.</w:t>
      </w:r>
    </w:p>
    <w:p w14:paraId="62A9A0D1" w14:textId="059C859A" w:rsidR="00A355BF" w:rsidRDefault="0010257A" w:rsidP="005061B4">
      <w:pPr>
        <w:pStyle w:val="Loendilik"/>
        <w:numPr>
          <w:ilvl w:val="1"/>
          <w:numId w:val="2"/>
        </w:numPr>
        <w:spacing w:before="40" w:after="20"/>
        <w:jc w:val="both"/>
      </w:pPr>
      <w:r>
        <w:t>Kokkulepe väljendab poolte täielikku kokkulepet käesoleva vaidlustusasja kompromissiga lõpetamise tingimuste kohta. Kokkuleppe muudatused kehtivad üksnes kirjalikus või kirjalikku taasesitamist võimaldavas vormis, kui pooled ei lepi kokku rangemas vormis.</w:t>
      </w:r>
    </w:p>
    <w:p w14:paraId="208B55A8" w14:textId="2D65E360" w:rsidR="00A355BF" w:rsidRDefault="0010257A" w:rsidP="005061B4">
      <w:pPr>
        <w:pStyle w:val="Loendilik"/>
        <w:numPr>
          <w:ilvl w:val="1"/>
          <w:numId w:val="2"/>
        </w:numPr>
        <w:spacing w:before="40" w:after="20"/>
        <w:jc w:val="both"/>
      </w:pPr>
      <w:r>
        <w:t>Kokkulepe allkirjastatakse digitaalselt. Digiallkirjastamise kuupäev loetakse kokkuleppe sõlmimise kuupäevaks.</w:t>
      </w:r>
    </w:p>
    <w:p w14:paraId="1C61DECE" w14:textId="542BD97F" w:rsidR="00A355BF" w:rsidRDefault="0010257A">
      <w:pPr>
        <w:keepNext/>
        <w:spacing w:before="140" w:after="40"/>
        <w:jc w:val="both"/>
      </w:pPr>
      <w:r>
        <w:rPr>
          <w:b/>
        </w:rPr>
        <w:t>Ühine taotlus Riigihangete vaidlustuskomisjonile</w:t>
      </w:r>
    </w:p>
    <w:p w14:paraId="21FC3132" w14:textId="5CD4CA31" w:rsidR="00A355BF" w:rsidRDefault="0010257A" w:rsidP="002A2617">
      <w:pPr>
        <w:spacing w:after="20"/>
        <w:jc w:val="both"/>
      </w:pPr>
      <w:r>
        <w:t>Eeltoodust lähtudes paluvad poole</w:t>
      </w:r>
      <w:r w:rsidR="002A2617">
        <w:t>d</w:t>
      </w:r>
      <w:r>
        <w:t xml:space="preserve"> lõpetada vaidlustusmenetlus vaidlustusasjas nr 185-26/307261 RHS § 197 lg 1 p 1 alusel</w:t>
      </w:r>
      <w:r w:rsidR="002A2617">
        <w:t xml:space="preserve"> eelpool toodud tingimustel.</w:t>
      </w:r>
    </w:p>
    <w:p w14:paraId="659988CF" w14:textId="77777777" w:rsidR="005061B4" w:rsidRDefault="005061B4">
      <w:pPr>
        <w:keepNext/>
        <w:spacing w:before="140" w:after="40"/>
        <w:jc w:val="both"/>
        <w:rPr>
          <w:b/>
        </w:rPr>
      </w:pPr>
    </w:p>
    <w:p w14:paraId="0A83C2C7" w14:textId="039AD2E7" w:rsidR="00A355BF" w:rsidRDefault="0010257A">
      <w:pPr>
        <w:keepNext/>
        <w:spacing w:before="140" w:after="40"/>
        <w:jc w:val="both"/>
      </w:pPr>
      <w:r>
        <w:rPr>
          <w:b/>
        </w:rPr>
        <w:t>Poolte allkirjad</w:t>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4592"/>
        <w:gridCol w:w="4592"/>
      </w:tblGrid>
      <w:tr w:rsidR="00A355BF" w14:paraId="37718161" w14:textId="77777777">
        <w:tc>
          <w:tcPr>
            <w:tcW w:w="4592" w:type="dxa"/>
            <w:tcMar>
              <w:top w:w="50" w:type="dxa"/>
              <w:left w:w="0" w:type="dxa"/>
              <w:bottom w:w="30" w:type="dxa"/>
              <w:right w:w="220" w:type="dxa"/>
            </w:tcMar>
          </w:tcPr>
          <w:p w14:paraId="7BD40A55" w14:textId="77777777" w:rsidR="00A355BF" w:rsidRDefault="0010257A">
            <w:r>
              <w:rPr>
                <w:b/>
              </w:rPr>
              <w:t>AKTSIASELTS TALLINNA VESI</w:t>
            </w:r>
          </w:p>
          <w:p w14:paraId="109D4802" w14:textId="77777777" w:rsidR="00A355BF" w:rsidRDefault="0010257A">
            <w:r>
              <w:t>Hankija</w:t>
            </w:r>
          </w:p>
          <w:p w14:paraId="7CE02234" w14:textId="77777777" w:rsidR="00A355BF" w:rsidRDefault="00A355BF"/>
          <w:p w14:paraId="5B442CC9" w14:textId="77777777" w:rsidR="005061B4" w:rsidRDefault="0010257A">
            <w:r>
              <w:t>Merily Tamm, vandeadvokaadi abi</w:t>
            </w:r>
          </w:p>
          <w:p w14:paraId="6C4D6A72" w14:textId="6176FEAC" w:rsidR="00A355BF" w:rsidRDefault="0010257A">
            <w:r>
              <w:t xml:space="preserve">Advokaadibüroo INDELA </w:t>
            </w:r>
          </w:p>
          <w:p w14:paraId="192D694A" w14:textId="3E63BB6B" w:rsidR="005061B4" w:rsidRDefault="005061B4">
            <w:r>
              <w:t>AKTSIASELTS TALLINNA VESI lepinguline esindaja</w:t>
            </w:r>
          </w:p>
          <w:p w14:paraId="70F99464" w14:textId="77777777" w:rsidR="00A355BF" w:rsidRDefault="00A355BF"/>
          <w:p w14:paraId="31BEBFA2" w14:textId="77777777" w:rsidR="00A355BF" w:rsidRDefault="0010257A">
            <w:r>
              <w:t>Allkirjastatud digitaalselt</w:t>
            </w:r>
          </w:p>
        </w:tc>
        <w:tc>
          <w:tcPr>
            <w:tcW w:w="4592" w:type="dxa"/>
            <w:tcMar>
              <w:top w:w="50" w:type="dxa"/>
              <w:left w:w="0" w:type="dxa"/>
              <w:bottom w:w="30" w:type="dxa"/>
              <w:right w:w="220" w:type="dxa"/>
            </w:tcMar>
          </w:tcPr>
          <w:p w14:paraId="7DCA74B4" w14:textId="77777777" w:rsidR="00A355BF" w:rsidRDefault="0010257A">
            <w:r>
              <w:rPr>
                <w:b/>
              </w:rPr>
              <w:t>OIXIO Digital AS</w:t>
            </w:r>
          </w:p>
          <w:p w14:paraId="5AEC08D6" w14:textId="77777777" w:rsidR="00A355BF" w:rsidRDefault="0010257A">
            <w:r>
              <w:t>Vaidlustaja</w:t>
            </w:r>
          </w:p>
          <w:p w14:paraId="2C1BE5B7" w14:textId="77777777" w:rsidR="00A355BF" w:rsidRDefault="00A355BF"/>
          <w:p w14:paraId="45486D81" w14:textId="68786B97" w:rsidR="00A355BF" w:rsidRDefault="005E725E">
            <w:r>
              <w:t>Taivo Ruus, vandeadvokaat</w:t>
            </w:r>
          </w:p>
          <w:p w14:paraId="069DC768" w14:textId="3D89806E" w:rsidR="00A355BF" w:rsidRDefault="005E725E">
            <w:r>
              <w:t>Vaidlustaja lepinguline esindaja</w:t>
            </w:r>
          </w:p>
          <w:p w14:paraId="6DF79694" w14:textId="77777777" w:rsidR="00A355BF" w:rsidRDefault="00A355BF"/>
          <w:p w14:paraId="0CF61058" w14:textId="77777777" w:rsidR="005061B4" w:rsidRDefault="005061B4"/>
          <w:p w14:paraId="4E5895A4" w14:textId="77777777" w:rsidR="00A355BF" w:rsidRDefault="0010257A">
            <w:r>
              <w:t>Allkirjastatud digitaalselt</w:t>
            </w:r>
          </w:p>
        </w:tc>
      </w:tr>
    </w:tbl>
    <w:p w14:paraId="187D470C" w14:textId="77777777" w:rsidR="00EF2AA8" w:rsidRDefault="00EF2AA8"/>
    <w:sectPr w:rsidR="00EF2AA8" w:rsidSect="00B40F3D">
      <w:headerReference w:type="default" r:id="rId10"/>
      <w:footerReference w:type="default" r:id="rId11"/>
      <w:pgSz w:w="11906" w:h="16838"/>
      <w:pgMar w:top="1701" w:right="1474" w:bottom="1701" w:left="1361" w:header="79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E0DF5" w14:textId="77777777" w:rsidR="00090192" w:rsidRDefault="00090192" w:rsidP="00155C67">
      <w:r>
        <w:separator/>
      </w:r>
    </w:p>
  </w:endnote>
  <w:endnote w:type="continuationSeparator" w:id="0">
    <w:p w14:paraId="47ED7097" w14:textId="77777777" w:rsidR="00090192" w:rsidRDefault="00090192" w:rsidP="00155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9DC1B2A2-6029-484F-92AF-45EC3C06F1C5}"/>
    <w:embedBold r:id="rId2" w:fontKey="{7D657D80-829B-4B84-A007-5581CB269D9E}"/>
    <w:embedItalic r:id="rId3" w:fontKey="{45006BBF-26BB-405E-8BEA-E22AC08D9424}"/>
  </w:font>
  <w:font w:name="Aptos Display">
    <w:charset w:val="00"/>
    <w:family w:val="swiss"/>
    <w:pitch w:val="variable"/>
    <w:sig w:usb0="20000287" w:usb1="00000003" w:usb2="00000000" w:usb3="00000000" w:csb0="0000019F" w:csb1="00000000"/>
    <w:embedRegular r:id="rId4" w:fontKey="{38618505-E7C1-4626-BABC-1DAE6DEC00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AB0B0" w14:textId="77777777" w:rsidR="00BE5FC0" w:rsidRPr="00BE5FC0" w:rsidRDefault="009233CE">
    <w:pPr>
      <w:pStyle w:val="Jalus"/>
      <w:rPr>
        <w:lang w:val="en-US"/>
      </w:rPr>
    </w:pPr>
    <w:r>
      <w:rPr>
        <w:noProof/>
      </w:rPr>
      <w:drawing>
        <wp:anchor distT="0" distB="0" distL="114300" distR="114300" simplePos="0" relativeHeight="251658241" behindDoc="1" locked="0" layoutInCell="1" allowOverlap="1" wp14:anchorId="12130B8F" wp14:editId="43926301">
          <wp:simplePos x="397565" y="8690776"/>
          <wp:positionH relativeFrom="page">
            <wp:align>right</wp:align>
          </wp:positionH>
          <wp:positionV relativeFrom="page">
            <wp:align>bottom</wp:align>
          </wp:positionV>
          <wp:extent cx="3625200" cy="1407600"/>
          <wp:effectExtent l="0" t="0" r="0" b="2540"/>
          <wp:wrapNone/>
          <wp:docPr id="1535808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25200" cy="140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5FC0" w:rsidRPr="00BE5FC0">
      <w:rPr>
        <w:b/>
        <w:bCs/>
        <w:lang w:val="en-US"/>
      </w:rPr>
      <w:t xml:space="preserve"> Tallinna Vesi</w:t>
    </w:r>
    <w:r w:rsidR="00A336CC">
      <w:rPr>
        <w:lang w:val="en-US"/>
      </w:rPr>
      <w:t>  </w:t>
    </w:r>
    <w:r w:rsidR="009B7E96" w:rsidRPr="00AC15C7">
      <w:rPr>
        <w:color w:val="17C2CE"/>
        <w:sz w:val="28"/>
        <w:szCs w:val="36"/>
        <w:lang w:val="en-US"/>
      </w:rPr>
      <w:t>|</w:t>
    </w:r>
    <w:r w:rsidR="00A336CC">
      <w:rPr>
        <w:lang w:val="en-US"/>
      </w:rPr>
      <w:t>  </w:t>
    </w:r>
    <w:proofErr w:type="spellStart"/>
    <w:r w:rsidR="00502086">
      <w:rPr>
        <w:lang w:val="en-US"/>
      </w:rPr>
      <w:t>Ä</w:t>
    </w:r>
    <w:r w:rsidR="00BE5FC0">
      <w:rPr>
        <w:lang w:val="en-US"/>
      </w:rPr>
      <w:t>dala</w:t>
    </w:r>
    <w:proofErr w:type="spellEnd"/>
    <w:r w:rsidR="00BE5FC0">
      <w:rPr>
        <w:lang w:val="en-US"/>
      </w:rPr>
      <w:t xml:space="preserve"> 10, Tallinn</w:t>
    </w:r>
    <w:r w:rsidR="00A336CC">
      <w:rPr>
        <w:lang w:val="en-US"/>
      </w:rPr>
      <w:t>  </w:t>
    </w:r>
    <w:r w:rsidR="009B7E96" w:rsidRPr="00AC15C7">
      <w:rPr>
        <w:color w:val="17C2CE"/>
        <w:sz w:val="28"/>
        <w:szCs w:val="36"/>
        <w:lang w:val="en-US"/>
      </w:rPr>
      <w:t>|</w:t>
    </w:r>
    <w:r w:rsidR="00A336CC">
      <w:rPr>
        <w:lang w:val="en-US"/>
      </w:rPr>
      <w:t>  </w:t>
    </w:r>
    <w:r w:rsidR="00A336CC" w:rsidRPr="00A336CC">
      <w:rPr>
        <w:lang w:val="en-US"/>
      </w:rPr>
      <w:t>tvesi@tvesi.ee</w:t>
    </w:r>
    <w:r w:rsidR="00A336CC">
      <w:rPr>
        <w:lang w:val="en-US"/>
      </w:rPr>
      <w:t>  </w:t>
    </w:r>
    <w:r w:rsidR="009B7E96" w:rsidRPr="00AC15C7">
      <w:rPr>
        <w:color w:val="17C2CE"/>
        <w:sz w:val="28"/>
        <w:szCs w:val="36"/>
        <w:lang w:val="en-US"/>
      </w:rPr>
      <w:t>|</w:t>
    </w:r>
    <w:r w:rsidR="00A336CC">
      <w:rPr>
        <w:lang w:val="en-US"/>
      </w:rPr>
      <w:t>  </w:t>
    </w:r>
    <w:r w:rsidR="00BE5FC0">
      <w:rPr>
        <w:lang w:val="en-US"/>
      </w:rPr>
      <w:t>626 2200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71930" w14:textId="77777777" w:rsidR="00090192" w:rsidRDefault="00090192" w:rsidP="00155C67">
      <w:r>
        <w:separator/>
      </w:r>
    </w:p>
  </w:footnote>
  <w:footnote w:type="continuationSeparator" w:id="0">
    <w:p w14:paraId="7A2F35DD" w14:textId="77777777" w:rsidR="00090192" w:rsidRDefault="00090192" w:rsidP="00155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CE49C" w14:textId="77777777" w:rsidR="00155C67" w:rsidRPr="00BE5FC0" w:rsidRDefault="00155C67">
    <w:pPr>
      <w:pStyle w:val="Pis"/>
      <w:rPr>
        <w:lang w:val="en-US"/>
      </w:rPr>
    </w:pPr>
    <w:r>
      <w:rPr>
        <w:noProof/>
      </w:rPr>
      <w:drawing>
        <wp:anchor distT="0" distB="0" distL="114300" distR="114300" simplePos="0" relativeHeight="251658240" behindDoc="1" locked="0" layoutInCell="1" allowOverlap="1" wp14:anchorId="67045E76" wp14:editId="0730D856">
          <wp:simplePos x="0" y="0"/>
          <wp:positionH relativeFrom="page">
            <wp:posOffset>351790</wp:posOffset>
          </wp:positionH>
          <wp:positionV relativeFrom="page">
            <wp:posOffset>345109</wp:posOffset>
          </wp:positionV>
          <wp:extent cx="1800000" cy="417272"/>
          <wp:effectExtent l="0" t="0" r="0" b="1905"/>
          <wp:wrapNone/>
          <wp:docPr id="155469247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317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800000" cy="41727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567DA"/>
    <w:multiLevelType w:val="multilevel"/>
    <w:tmpl w:val="DD56AB28"/>
    <w:lvl w:ilvl="0">
      <w:start w:val="1"/>
      <w:numFmt w:val="decimal"/>
      <w:lvlText w:val="%1."/>
      <w:lvlJc w:val="left"/>
      <w:pPr>
        <w:ind w:left="720" w:hanging="360"/>
      </w:pPr>
      <w:rPr>
        <w:rFonts w:hint="default"/>
        <w:b/>
      </w:rPr>
    </w:lvl>
    <w:lvl w:ilvl="1">
      <w:start w:val="1"/>
      <w:numFmt w:val="decimal"/>
      <w:isLgl/>
      <w:lvlText w:val="%1.%2."/>
      <w:lvlJc w:val="left"/>
      <w:pPr>
        <w:ind w:left="800" w:hanging="44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224C6DD8"/>
    <w:multiLevelType w:val="hybridMultilevel"/>
    <w:tmpl w:val="75743E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D46845"/>
    <w:multiLevelType w:val="multilevel"/>
    <w:tmpl w:val="DD56AB28"/>
    <w:lvl w:ilvl="0">
      <w:start w:val="1"/>
      <w:numFmt w:val="decimal"/>
      <w:lvlText w:val="%1."/>
      <w:lvlJc w:val="left"/>
      <w:pPr>
        <w:ind w:left="720" w:hanging="360"/>
      </w:pPr>
      <w:rPr>
        <w:rFonts w:hint="default"/>
        <w:b/>
      </w:rPr>
    </w:lvl>
    <w:lvl w:ilvl="1">
      <w:start w:val="1"/>
      <w:numFmt w:val="decimal"/>
      <w:isLgl/>
      <w:lvlText w:val="%1.%2."/>
      <w:lvlJc w:val="left"/>
      <w:pPr>
        <w:ind w:left="800" w:hanging="44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49091A97"/>
    <w:multiLevelType w:val="multilevel"/>
    <w:tmpl w:val="DD56AB28"/>
    <w:lvl w:ilvl="0">
      <w:start w:val="1"/>
      <w:numFmt w:val="decimal"/>
      <w:lvlText w:val="%1."/>
      <w:lvlJc w:val="left"/>
      <w:pPr>
        <w:ind w:left="720" w:hanging="360"/>
      </w:pPr>
      <w:rPr>
        <w:rFonts w:hint="default"/>
        <w:b/>
      </w:rPr>
    </w:lvl>
    <w:lvl w:ilvl="1">
      <w:start w:val="1"/>
      <w:numFmt w:val="decimal"/>
      <w:isLgl/>
      <w:lvlText w:val="%1.%2."/>
      <w:lvlJc w:val="left"/>
      <w:pPr>
        <w:ind w:left="800" w:hanging="44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50EE7072"/>
    <w:multiLevelType w:val="multilevel"/>
    <w:tmpl w:val="DD56AB28"/>
    <w:lvl w:ilvl="0">
      <w:start w:val="1"/>
      <w:numFmt w:val="decimal"/>
      <w:lvlText w:val="%1."/>
      <w:lvlJc w:val="left"/>
      <w:pPr>
        <w:ind w:left="720" w:hanging="360"/>
      </w:pPr>
      <w:rPr>
        <w:rFonts w:hint="default"/>
        <w:b/>
      </w:rPr>
    </w:lvl>
    <w:lvl w:ilvl="1">
      <w:start w:val="1"/>
      <w:numFmt w:val="decimal"/>
      <w:isLgl/>
      <w:lvlText w:val="%1.%2."/>
      <w:lvlJc w:val="left"/>
      <w:pPr>
        <w:ind w:left="800" w:hanging="44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337196165">
    <w:abstractNumId w:val="1"/>
  </w:num>
  <w:num w:numId="2" w16cid:durableId="1899314416">
    <w:abstractNumId w:val="0"/>
  </w:num>
  <w:num w:numId="3" w16cid:durableId="897982190">
    <w:abstractNumId w:val="2"/>
  </w:num>
  <w:num w:numId="4" w16cid:durableId="565991384">
    <w:abstractNumId w:val="4"/>
  </w:num>
  <w:num w:numId="5" w16cid:durableId="4307088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C9B"/>
    <w:rsid w:val="00001621"/>
    <w:rsid w:val="000048A4"/>
    <w:rsid w:val="000114FE"/>
    <w:rsid w:val="0002474E"/>
    <w:rsid w:val="000775B2"/>
    <w:rsid w:val="00090192"/>
    <w:rsid w:val="000A1C54"/>
    <w:rsid w:val="000A32A2"/>
    <w:rsid w:val="0010257A"/>
    <w:rsid w:val="0010512E"/>
    <w:rsid w:val="00155C67"/>
    <w:rsid w:val="001755F2"/>
    <w:rsid w:val="00185141"/>
    <w:rsid w:val="00202703"/>
    <w:rsid w:val="00207ED3"/>
    <w:rsid w:val="00262D21"/>
    <w:rsid w:val="00290032"/>
    <w:rsid w:val="00292779"/>
    <w:rsid w:val="002A2617"/>
    <w:rsid w:val="003542F9"/>
    <w:rsid w:val="00387021"/>
    <w:rsid w:val="003A252C"/>
    <w:rsid w:val="003E4BD0"/>
    <w:rsid w:val="003E7301"/>
    <w:rsid w:val="003F541B"/>
    <w:rsid w:val="0043160C"/>
    <w:rsid w:val="0044637C"/>
    <w:rsid w:val="004874E9"/>
    <w:rsid w:val="004B2EA6"/>
    <w:rsid w:val="00502086"/>
    <w:rsid w:val="005061B4"/>
    <w:rsid w:val="00510463"/>
    <w:rsid w:val="005C5C6F"/>
    <w:rsid w:val="005E725E"/>
    <w:rsid w:val="00651589"/>
    <w:rsid w:val="006B6128"/>
    <w:rsid w:val="006D51BD"/>
    <w:rsid w:val="006E77F7"/>
    <w:rsid w:val="00727EB5"/>
    <w:rsid w:val="007A0018"/>
    <w:rsid w:val="007A4ED9"/>
    <w:rsid w:val="00833D81"/>
    <w:rsid w:val="00835ADB"/>
    <w:rsid w:val="0084569E"/>
    <w:rsid w:val="008D7D10"/>
    <w:rsid w:val="0090693B"/>
    <w:rsid w:val="009233CE"/>
    <w:rsid w:val="00933451"/>
    <w:rsid w:val="00952F35"/>
    <w:rsid w:val="009724BD"/>
    <w:rsid w:val="009B7E96"/>
    <w:rsid w:val="009D63AA"/>
    <w:rsid w:val="009E14A5"/>
    <w:rsid w:val="009F46AE"/>
    <w:rsid w:val="00A336CC"/>
    <w:rsid w:val="00A355BF"/>
    <w:rsid w:val="00AC15C7"/>
    <w:rsid w:val="00AF01BD"/>
    <w:rsid w:val="00B36897"/>
    <w:rsid w:val="00B40F3D"/>
    <w:rsid w:val="00B54C9B"/>
    <w:rsid w:val="00B63AC8"/>
    <w:rsid w:val="00B6791B"/>
    <w:rsid w:val="00BE5FC0"/>
    <w:rsid w:val="00C06A40"/>
    <w:rsid w:val="00C324F0"/>
    <w:rsid w:val="00D161EE"/>
    <w:rsid w:val="00D3249F"/>
    <w:rsid w:val="00D62B32"/>
    <w:rsid w:val="00DB48A5"/>
    <w:rsid w:val="00DF5948"/>
    <w:rsid w:val="00DF71D9"/>
    <w:rsid w:val="00E1205F"/>
    <w:rsid w:val="00E614CC"/>
    <w:rsid w:val="00E77C2E"/>
    <w:rsid w:val="00EA3454"/>
    <w:rsid w:val="00EA3754"/>
    <w:rsid w:val="00EF2AA8"/>
    <w:rsid w:val="00FA1186"/>
    <w:rsid w:val="00FB35D8"/>
    <w:rsid w:val="00FE11C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D9C9"/>
  <w15:chartTrackingRefBased/>
  <w15:docId w15:val="{79ADDA7C-7B63-4E8A-8401-5E5FD49B6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155C67"/>
    <w:pPr>
      <w:spacing w:after="0" w:line="240" w:lineRule="auto"/>
    </w:pPr>
    <w:rPr>
      <w:sz w:val="20"/>
    </w:rPr>
  </w:style>
  <w:style w:type="paragraph" w:styleId="Pealkiri1">
    <w:name w:val="heading 1"/>
    <w:basedOn w:val="Normaallaad"/>
    <w:next w:val="Normaallaad"/>
    <w:link w:val="Pealkiri1Mrk"/>
    <w:uiPriority w:val="9"/>
    <w:qFormat/>
    <w:rsid w:val="00B54C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Pealkiri2">
    <w:name w:val="heading 2"/>
    <w:basedOn w:val="Normaallaad"/>
    <w:next w:val="Normaallaad"/>
    <w:link w:val="Pealkiri2Mrk"/>
    <w:uiPriority w:val="9"/>
    <w:semiHidden/>
    <w:unhideWhenUsed/>
    <w:qFormat/>
    <w:rsid w:val="00B54C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Pealkiri3">
    <w:name w:val="heading 3"/>
    <w:basedOn w:val="Normaallaad"/>
    <w:next w:val="Normaallaad"/>
    <w:link w:val="Pealkiri3Mrk"/>
    <w:uiPriority w:val="9"/>
    <w:semiHidden/>
    <w:unhideWhenUsed/>
    <w:qFormat/>
    <w:rsid w:val="00B54C9B"/>
    <w:pPr>
      <w:keepNext/>
      <w:keepLines/>
      <w:spacing w:before="160" w:after="80"/>
      <w:outlineLvl w:val="2"/>
    </w:pPr>
    <w:rPr>
      <w:rFonts w:eastAsiaTheme="majorEastAsia" w:cstheme="majorBidi"/>
      <w:color w:val="2F5496" w:themeColor="accent1" w:themeShade="BF"/>
      <w:sz w:val="28"/>
      <w:szCs w:val="28"/>
    </w:rPr>
  </w:style>
  <w:style w:type="paragraph" w:styleId="Pealkiri4">
    <w:name w:val="heading 4"/>
    <w:basedOn w:val="Normaallaad"/>
    <w:next w:val="Normaallaad"/>
    <w:link w:val="Pealkiri4Mrk"/>
    <w:uiPriority w:val="9"/>
    <w:semiHidden/>
    <w:unhideWhenUsed/>
    <w:qFormat/>
    <w:rsid w:val="00B54C9B"/>
    <w:pPr>
      <w:keepNext/>
      <w:keepLines/>
      <w:spacing w:before="80" w:after="40"/>
      <w:outlineLvl w:val="3"/>
    </w:pPr>
    <w:rPr>
      <w:rFonts w:eastAsiaTheme="majorEastAsia" w:cstheme="majorBidi"/>
      <w:i/>
      <w:iCs/>
      <w:color w:val="2F5496" w:themeColor="accent1" w:themeShade="BF"/>
    </w:rPr>
  </w:style>
  <w:style w:type="paragraph" w:styleId="Pealkiri5">
    <w:name w:val="heading 5"/>
    <w:basedOn w:val="Normaallaad"/>
    <w:next w:val="Normaallaad"/>
    <w:link w:val="Pealkiri5Mrk"/>
    <w:uiPriority w:val="9"/>
    <w:semiHidden/>
    <w:unhideWhenUsed/>
    <w:qFormat/>
    <w:rsid w:val="00B54C9B"/>
    <w:pPr>
      <w:keepNext/>
      <w:keepLines/>
      <w:spacing w:before="80" w:after="40"/>
      <w:outlineLvl w:val="4"/>
    </w:pPr>
    <w:rPr>
      <w:rFonts w:eastAsiaTheme="majorEastAsia" w:cstheme="majorBidi"/>
      <w:color w:val="2F5496" w:themeColor="accent1" w:themeShade="BF"/>
    </w:rPr>
  </w:style>
  <w:style w:type="paragraph" w:styleId="Pealkiri6">
    <w:name w:val="heading 6"/>
    <w:basedOn w:val="Normaallaad"/>
    <w:next w:val="Normaallaad"/>
    <w:link w:val="Pealkiri6Mrk"/>
    <w:uiPriority w:val="9"/>
    <w:semiHidden/>
    <w:unhideWhenUsed/>
    <w:qFormat/>
    <w:rsid w:val="00B54C9B"/>
    <w:pPr>
      <w:keepNext/>
      <w:keepLines/>
      <w:spacing w:before="4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B54C9B"/>
    <w:pPr>
      <w:keepNext/>
      <w:keepLines/>
      <w:spacing w:before="4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B54C9B"/>
    <w:pPr>
      <w:keepNext/>
      <w:keepLines/>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B54C9B"/>
    <w:pPr>
      <w:keepNext/>
      <w:keepLines/>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B54C9B"/>
    <w:rPr>
      <w:rFonts w:asciiTheme="majorHAnsi" w:eastAsiaTheme="majorEastAsia" w:hAnsiTheme="majorHAnsi" w:cstheme="majorBidi"/>
      <w:color w:val="2F5496" w:themeColor="accent1" w:themeShade="BF"/>
      <w:sz w:val="40"/>
      <w:szCs w:val="40"/>
    </w:rPr>
  </w:style>
  <w:style w:type="character" w:customStyle="1" w:styleId="Pealkiri2Mrk">
    <w:name w:val="Pealkiri 2 Märk"/>
    <w:basedOn w:val="Liguvaikefont"/>
    <w:link w:val="Pealkiri2"/>
    <w:uiPriority w:val="9"/>
    <w:semiHidden/>
    <w:rsid w:val="00B54C9B"/>
    <w:rPr>
      <w:rFonts w:asciiTheme="majorHAnsi" w:eastAsiaTheme="majorEastAsia" w:hAnsiTheme="majorHAnsi" w:cstheme="majorBidi"/>
      <w:color w:val="2F5496" w:themeColor="accent1" w:themeShade="BF"/>
      <w:sz w:val="32"/>
      <w:szCs w:val="32"/>
    </w:rPr>
  </w:style>
  <w:style w:type="character" w:customStyle="1" w:styleId="Pealkiri3Mrk">
    <w:name w:val="Pealkiri 3 Märk"/>
    <w:basedOn w:val="Liguvaikefont"/>
    <w:link w:val="Pealkiri3"/>
    <w:uiPriority w:val="9"/>
    <w:semiHidden/>
    <w:rsid w:val="00B54C9B"/>
    <w:rPr>
      <w:rFonts w:eastAsiaTheme="majorEastAsia" w:cstheme="majorBidi"/>
      <w:color w:val="2F5496" w:themeColor="accent1" w:themeShade="BF"/>
      <w:sz w:val="28"/>
      <w:szCs w:val="28"/>
    </w:rPr>
  </w:style>
  <w:style w:type="character" w:customStyle="1" w:styleId="Pealkiri4Mrk">
    <w:name w:val="Pealkiri 4 Märk"/>
    <w:basedOn w:val="Liguvaikefont"/>
    <w:link w:val="Pealkiri4"/>
    <w:uiPriority w:val="9"/>
    <w:semiHidden/>
    <w:rsid w:val="00B54C9B"/>
    <w:rPr>
      <w:rFonts w:eastAsiaTheme="majorEastAsia" w:cstheme="majorBidi"/>
      <w:i/>
      <w:iCs/>
      <w:color w:val="2F5496" w:themeColor="accent1" w:themeShade="BF"/>
    </w:rPr>
  </w:style>
  <w:style w:type="character" w:customStyle="1" w:styleId="Pealkiri5Mrk">
    <w:name w:val="Pealkiri 5 Märk"/>
    <w:basedOn w:val="Liguvaikefont"/>
    <w:link w:val="Pealkiri5"/>
    <w:uiPriority w:val="9"/>
    <w:semiHidden/>
    <w:rsid w:val="00B54C9B"/>
    <w:rPr>
      <w:rFonts w:eastAsiaTheme="majorEastAsia" w:cstheme="majorBidi"/>
      <w:color w:val="2F5496" w:themeColor="accent1" w:themeShade="BF"/>
    </w:rPr>
  </w:style>
  <w:style w:type="character" w:customStyle="1" w:styleId="Pealkiri6Mrk">
    <w:name w:val="Pealkiri 6 Märk"/>
    <w:basedOn w:val="Liguvaikefont"/>
    <w:link w:val="Pealkiri6"/>
    <w:uiPriority w:val="9"/>
    <w:semiHidden/>
    <w:rsid w:val="00B54C9B"/>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B54C9B"/>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B54C9B"/>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B54C9B"/>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B54C9B"/>
    <w:pPr>
      <w:spacing w:after="80"/>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B54C9B"/>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B54C9B"/>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B54C9B"/>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B54C9B"/>
    <w:pPr>
      <w:spacing w:before="160"/>
      <w:jc w:val="center"/>
    </w:pPr>
    <w:rPr>
      <w:i/>
      <w:iCs/>
      <w:color w:val="404040" w:themeColor="text1" w:themeTint="BF"/>
    </w:rPr>
  </w:style>
  <w:style w:type="character" w:customStyle="1" w:styleId="TsitaatMrk">
    <w:name w:val="Tsitaat Märk"/>
    <w:basedOn w:val="Liguvaikefont"/>
    <w:link w:val="Tsitaat"/>
    <w:uiPriority w:val="29"/>
    <w:rsid w:val="00B54C9B"/>
    <w:rPr>
      <w:i/>
      <w:iCs/>
      <w:color w:val="404040" w:themeColor="text1" w:themeTint="BF"/>
    </w:rPr>
  </w:style>
  <w:style w:type="paragraph" w:styleId="Loendilik">
    <w:name w:val="List Paragraph"/>
    <w:basedOn w:val="Normaallaad"/>
    <w:uiPriority w:val="34"/>
    <w:qFormat/>
    <w:rsid w:val="00B54C9B"/>
    <w:pPr>
      <w:ind w:left="720"/>
      <w:contextualSpacing/>
    </w:pPr>
  </w:style>
  <w:style w:type="character" w:styleId="Selgeltmrgatavrhutus">
    <w:name w:val="Intense Emphasis"/>
    <w:basedOn w:val="Liguvaikefont"/>
    <w:uiPriority w:val="21"/>
    <w:qFormat/>
    <w:rsid w:val="00B54C9B"/>
    <w:rPr>
      <w:i/>
      <w:iCs/>
      <w:color w:val="2F5496" w:themeColor="accent1" w:themeShade="BF"/>
    </w:rPr>
  </w:style>
  <w:style w:type="paragraph" w:styleId="Selgeltmrgatavtsitaat">
    <w:name w:val="Intense Quote"/>
    <w:basedOn w:val="Normaallaad"/>
    <w:next w:val="Normaallaad"/>
    <w:link w:val="SelgeltmrgatavtsitaatMrk"/>
    <w:uiPriority w:val="30"/>
    <w:qFormat/>
    <w:rsid w:val="00B54C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elgeltmrgatavtsitaatMrk">
    <w:name w:val="Selgelt märgatav tsitaat Märk"/>
    <w:basedOn w:val="Liguvaikefont"/>
    <w:link w:val="Selgeltmrgatavtsitaat"/>
    <w:uiPriority w:val="30"/>
    <w:rsid w:val="00B54C9B"/>
    <w:rPr>
      <w:i/>
      <w:iCs/>
      <w:color w:val="2F5496" w:themeColor="accent1" w:themeShade="BF"/>
    </w:rPr>
  </w:style>
  <w:style w:type="character" w:styleId="Selgeltmrgatavviide">
    <w:name w:val="Intense Reference"/>
    <w:basedOn w:val="Liguvaikefont"/>
    <w:uiPriority w:val="32"/>
    <w:qFormat/>
    <w:rsid w:val="00B54C9B"/>
    <w:rPr>
      <w:b/>
      <w:bCs/>
      <w:smallCaps/>
      <w:color w:val="2F5496" w:themeColor="accent1" w:themeShade="BF"/>
      <w:spacing w:val="5"/>
    </w:rPr>
  </w:style>
  <w:style w:type="paragraph" w:styleId="Pis">
    <w:name w:val="header"/>
    <w:basedOn w:val="Normaallaad"/>
    <w:link w:val="PisMrk"/>
    <w:uiPriority w:val="99"/>
    <w:unhideWhenUsed/>
    <w:rsid w:val="00155C67"/>
    <w:pPr>
      <w:tabs>
        <w:tab w:val="center" w:pos="4513"/>
        <w:tab w:val="right" w:pos="9026"/>
      </w:tabs>
    </w:pPr>
  </w:style>
  <w:style w:type="character" w:customStyle="1" w:styleId="PisMrk">
    <w:name w:val="Päis Märk"/>
    <w:basedOn w:val="Liguvaikefont"/>
    <w:link w:val="Pis"/>
    <w:uiPriority w:val="99"/>
    <w:rsid w:val="00155C67"/>
  </w:style>
  <w:style w:type="paragraph" w:styleId="Jalus">
    <w:name w:val="footer"/>
    <w:basedOn w:val="Normaallaad"/>
    <w:link w:val="JalusMrk"/>
    <w:uiPriority w:val="99"/>
    <w:unhideWhenUsed/>
    <w:rsid w:val="00BE5FC0"/>
    <w:pPr>
      <w:tabs>
        <w:tab w:val="center" w:pos="4513"/>
        <w:tab w:val="right" w:pos="9026"/>
      </w:tabs>
      <w:ind w:left="-737"/>
    </w:pPr>
    <w:rPr>
      <w:sz w:val="18"/>
    </w:rPr>
  </w:style>
  <w:style w:type="character" w:customStyle="1" w:styleId="JalusMrk">
    <w:name w:val="Jalus Märk"/>
    <w:basedOn w:val="Liguvaikefont"/>
    <w:link w:val="Jalus"/>
    <w:uiPriority w:val="99"/>
    <w:rsid w:val="00BE5FC0"/>
    <w:rPr>
      <w:sz w:val="18"/>
    </w:rPr>
  </w:style>
  <w:style w:type="character" w:styleId="Hperlink">
    <w:name w:val="Hyperlink"/>
    <w:basedOn w:val="Liguvaikefont"/>
    <w:uiPriority w:val="99"/>
    <w:unhideWhenUsed/>
    <w:rsid w:val="00BE5FC0"/>
    <w:rPr>
      <w:color w:val="0563C1" w:themeColor="hyperlink"/>
      <w:u w:val="single"/>
    </w:rPr>
  </w:style>
  <w:style w:type="character" w:styleId="Lahendamatamainimine">
    <w:name w:val="Unresolved Mention"/>
    <w:basedOn w:val="Liguvaikefont"/>
    <w:uiPriority w:val="99"/>
    <w:semiHidden/>
    <w:unhideWhenUsed/>
    <w:rsid w:val="00BE5F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f82ee6-8506-4d09-9890-21bd2e3edc36">
      <Terms xmlns="http://schemas.microsoft.com/office/infopath/2007/PartnerControls"/>
    </lcf76f155ced4ddcb4097134ff3c332f>
    <TaxCatchAll xmlns="13ed5e47-a378-48ab-b330-9849814f331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3BB07C5E1BDF4AB5CC5C5A429DC527" ma:contentTypeVersion="13" ma:contentTypeDescription="Create a new document." ma:contentTypeScope="" ma:versionID="ff58595caa37a067d4dbd3a03c1c8291">
  <xsd:schema xmlns:xsd="http://www.w3.org/2001/XMLSchema" xmlns:xs="http://www.w3.org/2001/XMLSchema" xmlns:p="http://schemas.microsoft.com/office/2006/metadata/properties" xmlns:ns2="5af82ee6-8506-4d09-9890-21bd2e3edc36" xmlns:ns3="13ed5e47-a378-48ab-b330-9849814f3313" targetNamespace="http://schemas.microsoft.com/office/2006/metadata/properties" ma:root="true" ma:fieldsID="a326a95245209ccc1af7f5510ed8c2e1" ns2:_="" ns3:_="">
    <xsd:import namespace="5af82ee6-8506-4d09-9890-21bd2e3edc36"/>
    <xsd:import namespace="13ed5e47-a378-48ab-b330-9849814f331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82ee6-8506-4d09-9890-21bd2e3edc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42a7a4b-3129-4ed4-9f61-74d4e1014cb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ed5e47-a378-48ab-b330-9849814f331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f962051-e4dc-4283-a847-0f8d2e8725a9}" ma:internalName="TaxCatchAll" ma:showField="CatchAllData" ma:web="13ed5e47-a378-48ab-b330-9849814f33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C0FB30-E368-4BA8-B5A2-21BC9D00DF15}">
  <ds:schemaRefs>
    <ds:schemaRef ds:uri="http://schemas.microsoft.com/office/2006/metadata/properties"/>
    <ds:schemaRef ds:uri="http://schemas.microsoft.com/office/infopath/2007/PartnerControls"/>
    <ds:schemaRef ds:uri="5af82ee6-8506-4d09-9890-21bd2e3edc36"/>
    <ds:schemaRef ds:uri="13ed5e47-a378-48ab-b330-9849814f3313"/>
  </ds:schemaRefs>
</ds:datastoreItem>
</file>

<file path=customXml/itemProps2.xml><?xml version="1.0" encoding="utf-8"?>
<ds:datastoreItem xmlns:ds="http://schemas.openxmlformats.org/officeDocument/2006/customXml" ds:itemID="{CF6C73F7-5E23-478D-8503-ACCD334508B0}">
  <ds:schemaRefs>
    <ds:schemaRef ds:uri="http://schemas.microsoft.com/sharepoint/v3/contenttype/forms"/>
  </ds:schemaRefs>
</ds:datastoreItem>
</file>

<file path=customXml/itemProps3.xml><?xml version="1.0" encoding="utf-8"?>
<ds:datastoreItem xmlns:ds="http://schemas.openxmlformats.org/officeDocument/2006/customXml" ds:itemID="{9BB489D5-962D-4AA3-B26A-7AACE959C6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82ee6-8506-4d09-9890-21bd2e3edc36"/>
    <ds:schemaRef ds:uri="13ed5e47-a378-48ab-b330-9849814f3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1020</Words>
  <Characters>5917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Kompromisskokkulepe vaidlustusasjas nr 185-26/307261</vt:lpstr>
    </vt:vector>
  </TitlesOfParts>
  <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Kompromisskokkulepe vaidlustusasjas nr 185-26/307261</dc:title>
  <dc:subject>Ühine taotlus vaidlustusmenetluse lõpetamiseks</dc:subject>
  <dc:creator/>
  <cp:keywords/>
  <dc:description/>
  <cp:lastModifiedBy>Taivo Ruus</cp:lastModifiedBy>
  <cp:revision>29</cp:revision>
  <dcterms:created xsi:type="dcterms:W3CDTF">2025-06-10T17:01:00Z</dcterms:created>
  <dcterms:modified xsi:type="dcterms:W3CDTF">2026-09-03T14:23:00Z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46544b-2499-4ad1-8ce4-de5cb2e06852_Enabled">
    <vt:lpwstr>true</vt:lpwstr>
  </property>
  <property fmtid="{D5CDD505-2E9C-101B-9397-08002B2CF9AE}" pid="3" name="MSIP_Label_be46544b-2499-4ad1-8ce4-de5cb2e06852_SetDate">
    <vt:lpwstr>2026-04-14T18:39:48Z</vt:lpwstr>
  </property>
  <property fmtid="{D5CDD505-2E9C-101B-9397-08002B2CF9AE}" pid="4" name="MSIP_Label_be46544b-2499-4ad1-8ce4-de5cb2e06852_Method">
    <vt:lpwstr>Standard</vt:lpwstr>
  </property>
  <property fmtid="{D5CDD505-2E9C-101B-9397-08002B2CF9AE}" pid="5" name="MSIP_Label_be46544b-2499-4ad1-8ce4-de5cb2e06852_Name">
    <vt:lpwstr>Sise-Kasutuseks</vt:lpwstr>
  </property>
  <property fmtid="{D5CDD505-2E9C-101B-9397-08002B2CF9AE}" pid="6" name="MSIP_Label_be46544b-2499-4ad1-8ce4-de5cb2e06852_SiteId">
    <vt:lpwstr>e864b8f5-cba1-4fb8-b779-bceeee179593</vt:lpwstr>
  </property>
  <property fmtid="{D5CDD505-2E9C-101B-9397-08002B2CF9AE}" pid="7" name="MSIP_Label_be46544b-2499-4ad1-8ce4-de5cb2e06852_ActionId">
    <vt:lpwstr>0831e515-7ec9-4fb4-bd39-8ec062d7296c</vt:lpwstr>
  </property>
  <property fmtid="{D5CDD505-2E9C-101B-9397-08002B2CF9AE}" pid="8" name="MSIP_Label_be46544b-2499-4ad1-8ce4-de5cb2e06852_ContentBits">
    <vt:lpwstr>0</vt:lpwstr>
  </property>
  <property fmtid="{D5CDD505-2E9C-101B-9397-08002B2CF9AE}" pid="9" name="MSIP_Label_be46544b-2499-4ad1-8ce4-de5cb2e06852_Tag">
    <vt:lpwstr>10, 3, 0, 1</vt:lpwstr>
  </property>
  <property fmtid="{D5CDD505-2E9C-101B-9397-08002B2CF9AE}" pid="10" name="ContentTypeId">
    <vt:lpwstr>0x0101003B3BB07C5E1BDF4AB5CC5C5A429DC527</vt:lpwstr>
  </property>
</Properties>
</file>